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b w:val="1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Overview and Assessment for Written Discussion Forums</w:t>
        <w:br w:type="textWrapping"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Each week, you will be required to post original responses to at least two discussion topics.  You will also be required to reply to at least two other students, although I encourage you to reply much more.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There will be 20 points available each week for the written discussion forums.  Each posting will be graded based on the following rubric:</w:t>
      </w:r>
    </w:p>
    <w:p w:rsidR="00000000" w:rsidDel="00000000" w:rsidP="00000000" w:rsidRDefault="00000000" w:rsidRPr="00000000">
      <w:pPr>
        <w:pStyle w:val="Title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1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vertAlign w:val="baseline"/>
          <w:rtl w:val="0"/>
        </w:rPr>
        <w:t xml:space="preserve">Discussion Post Rubric</w:t>
      </w:r>
    </w:p>
    <w:tbl>
      <w:tblPr>
        <w:tblStyle w:val="Table1"/>
        <w:tblW w:w="9360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b w:val="1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1 Point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b w:val="1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0 Points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b w:val="1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Points Possible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b w:val="1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Application of course material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Relevant course material (including text, lecture, other reading material, videos) is discussed thoroughly as it applies to the topic.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Relevant course material is only superficially mentioned, or is absent.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 Point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b w:val="1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Development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Response is well developed, with relevant examples.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The response does not respond directly to the topic, or the ideas and examples are too brief to address the topic.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 Point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b w:val="1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Depth of understanding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Demonstrates an in-depth understanding of the course material and how it relates to the topic.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The response lacks coherence and does not demonstrate knowledge of the course material.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 Point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b w:val="1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Mechanics (organization, grammar, spelling)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The response is free of spelling, punctuation, and grammatical errors, and is written at a college level.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Mechanical errors significantly impair the reader’s ability to understand the response.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 Point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b w:val="1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Use of evidence and assessment of validity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Supporting evidence is used effectively, and if outside sources are included, are evaluated in terms of validity.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Supporting evidence is absent and/or is not valid.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 Point</w:t>
              <w:br w:type="textWrapping"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480" w:firstLine="0"/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480" w:firstLine="0"/>
        <w:contextualSpacing w:val="0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Total Possible:</w:t>
      </w:r>
      <w:r w:rsidDel="00000000" w:rsidR="00000000" w:rsidRPr="00000000">
        <w:rPr>
          <w:vertAlign w:val="baseline"/>
          <w:rtl w:val="0"/>
        </w:rPr>
        <w:t xml:space="preserve">     5 Points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z w:val="24"/>
          <w:szCs w:val="24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br w:type="textWrapping"/>
      </w: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Grading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Every week, each of your two original responses to the required topics will receive a maximum of 5 points, so 10 points will be possible for original responses.  There will be 10 points possible for replies to other students.  I don’t necessarily expect the replies to be as extensive as the original responses to the topics.  Each reply will be graded on a scale of 0-5 (see above rubric), and the top 4 scores will count toward the total for the week.  For example, if you earned 5 points for your response to Topic 1, 4 points for your reply to Topic 2, 3 points each for 2 of your replies to other students and 1 point each for 3 other replies, you would earn 17 points out of 20 possible for the week.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1033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240" w:line="276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